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5DF3" w14:textId="77777777" w:rsidR="00FF7699" w:rsidRDefault="00FF7699" w:rsidP="00071363"/>
    <w:p w14:paraId="4683D71C" w14:textId="37C924C4" w:rsidR="00630A44" w:rsidRPr="00630A44" w:rsidRDefault="004E7639" w:rsidP="00630A44">
      <w:pPr>
        <w:rPr>
          <w:b/>
          <w:bCs/>
        </w:rPr>
      </w:pPr>
      <w:r>
        <w:rPr>
          <w:b/>
          <w:bCs/>
        </w:rPr>
        <w:t>Preston Parish Council</w:t>
      </w:r>
    </w:p>
    <w:p w14:paraId="4AE033D3" w14:textId="5F62D413" w:rsidR="00630A44" w:rsidRPr="00630A44" w:rsidRDefault="00630A44" w:rsidP="00630A44">
      <w:pPr>
        <w:rPr>
          <w:sz w:val="28"/>
          <w:szCs w:val="28"/>
        </w:rPr>
      </w:pPr>
      <w:r w:rsidRPr="00630A44">
        <w:rPr>
          <w:b/>
          <w:bCs/>
          <w:sz w:val="28"/>
          <w:szCs w:val="28"/>
        </w:rPr>
        <w:t xml:space="preserve">Investment </w:t>
      </w:r>
      <w:r>
        <w:rPr>
          <w:b/>
          <w:bCs/>
          <w:sz w:val="28"/>
          <w:szCs w:val="28"/>
        </w:rPr>
        <w:t xml:space="preserve">and Reserves </w:t>
      </w:r>
      <w:r w:rsidRPr="00630A44">
        <w:rPr>
          <w:b/>
          <w:bCs/>
          <w:sz w:val="28"/>
          <w:szCs w:val="28"/>
        </w:rPr>
        <w:t>Policy</w:t>
      </w:r>
    </w:p>
    <w:p w14:paraId="6FE62088" w14:textId="19111D07" w:rsidR="00630A44" w:rsidRPr="00630A44" w:rsidRDefault="00630A44" w:rsidP="00630A44">
      <w:r w:rsidRPr="00630A44">
        <w:rPr>
          <w:b/>
          <w:bCs/>
        </w:rPr>
        <w:t>Adopted:</w:t>
      </w:r>
      <w:r w:rsidRPr="00630A44">
        <w:t xml:space="preserve"> </w:t>
      </w:r>
      <w:r w:rsidR="000F3913">
        <w:t>2</w:t>
      </w:r>
      <w:r w:rsidR="000F3913" w:rsidRPr="000F3913">
        <w:rPr>
          <w:vertAlign w:val="superscript"/>
        </w:rPr>
        <w:t>nd</w:t>
      </w:r>
      <w:r w:rsidR="000F3913">
        <w:t xml:space="preserve"> </w:t>
      </w:r>
      <w:r w:rsidR="004E7639">
        <w:t>July 2026</w:t>
      </w:r>
      <w:r w:rsidRPr="00630A44">
        <w:br/>
      </w:r>
      <w:r w:rsidRPr="00630A44">
        <w:rPr>
          <w:b/>
          <w:bCs/>
        </w:rPr>
        <w:t>Reviewed:</w:t>
      </w:r>
      <w:r w:rsidRPr="00630A44">
        <w:t xml:space="preserve"> </w:t>
      </w:r>
      <w:r w:rsidRPr="00630A44">
        <w:br/>
      </w:r>
      <w:r w:rsidRPr="00630A44">
        <w:rPr>
          <w:b/>
          <w:bCs/>
        </w:rPr>
        <w:t>Next Review Due:</w:t>
      </w:r>
      <w:r w:rsidRPr="00630A44">
        <w:t xml:space="preserve"> </w:t>
      </w:r>
      <w:r w:rsidR="004E7639">
        <w:t>July 2027</w:t>
      </w:r>
    </w:p>
    <w:p w14:paraId="6A7AE954" w14:textId="77777777" w:rsidR="00630A44" w:rsidRPr="00630A44" w:rsidRDefault="00630A44" w:rsidP="00630A44">
      <w:pPr>
        <w:rPr>
          <w:b/>
          <w:bCs/>
        </w:rPr>
      </w:pPr>
      <w:r w:rsidRPr="00630A44">
        <w:rPr>
          <w:b/>
          <w:bCs/>
        </w:rPr>
        <w:t>1. Purpose</w:t>
      </w:r>
    </w:p>
    <w:p w14:paraId="08563953" w14:textId="77777777" w:rsidR="00630A44" w:rsidRPr="00630A44" w:rsidRDefault="00630A44" w:rsidP="00630A44">
      <w:r w:rsidRPr="00630A44">
        <w:t xml:space="preserve">This policy sets out how the Council manages its </w:t>
      </w:r>
      <w:r w:rsidRPr="00630A44">
        <w:rPr>
          <w:b/>
          <w:bCs/>
        </w:rPr>
        <w:t>reserves</w:t>
      </w:r>
      <w:r w:rsidRPr="00630A44">
        <w:t xml:space="preserve"> and </w:t>
      </w:r>
      <w:r w:rsidRPr="00630A44">
        <w:rPr>
          <w:b/>
          <w:bCs/>
        </w:rPr>
        <w:t>investments</w:t>
      </w:r>
      <w:r w:rsidRPr="00630A44">
        <w:t xml:space="preserve"> to ensure:</w:t>
      </w:r>
    </w:p>
    <w:p w14:paraId="6EE1D7A7" w14:textId="77777777" w:rsidR="00630A44" w:rsidRPr="00630A44" w:rsidRDefault="00630A44" w:rsidP="00630A44">
      <w:pPr>
        <w:numPr>
          <w:ilvl w:val="0"/>
          <w:numId w:val="2"/>
        </w:numPr>
      </w:pPr>
      <w:r w:rsidRPr="00630A44">
        <w:t>Adequate financial resilience and flexibility;</w:t>
      </w:r>
    </w:p>
    <w:p w14:paraId="691B0BD7" w14:textId="77777777" w:rsidR="00630A44" w:rsidRPr="00630A44" w:rsidRDefault="00630A44" w:rsidP="00630A44">
      <w:pPr>
        <w:numPr>
          <w:ilvl w:val="0"/>
          <w:numId w:val="2"/>
        </w:numPr>
      </w:pPr>
      <w:r w:rsidRPr="00630A44">
        <w:t>Compliance with legislation and statutory guidance;</w:t>
      </w:r>
    </w:p>
    <w:p w14:paraId="4DA21FC8" w14:textId="77777777" w:rsidR="00630A44" w:rsidRPr="00630A44" w:rsidRDefault="00630A44" w:rsidP="00630A44">
      <w:pPr>
        <w:numPr>
          <w:ilvl w:val="0"/>
          <w:numId w:val="2"/>
        </w:numPr>
      </w:pPr>
      <w:r w:rsidRPr="00630A44">
        <w:t>Transparency and accountability in financial management;</w:t>
      </w:r>
    </w:p>
    <w:p w14:paraId="199A6B3C" w14:textId="7B4CFEDE" w:rsidR="00630A44" w:rsidRPr="00630A44" w:rsidRDefault="00630A44" w:rsidP="00630A44">
      <w:pPr>
        <w:numPr>
          <w:ilvl w:val="0"/>
          <w:numId w:val="2"/>
        </w:numPr>
      </w:pPr>
      <w:r w:rsidRPr="00630A44">
        <w:t>Security of public money entrusted to the Council.</w:t>
      </w:r>
    </w:p>
    <w:p w14:paraId="5410A879" w14:textId="77777777" w:rsidR="00630A44" w:rsidRPr="00630A44" w:rsidRDefault="00630A44" w:rsidP="00630A44">
      <w:pPr>
        <w:rPr>
          <w:b/>
          <w:bCs/>
        </w:rPr>
      </w:pPr>
      <w:r w:rsidRPr="00630A44">
        <w:rPr>
          <w:b/>
          <w:bCs/>
        </w:rPr>
        <w:t>2. Legal and Regulatory Framework</w:t>
      </w:r>
    </w:p>
    <w:p w14:paraId="1E1C1555" w14:textId="77777777" w:rsidR="00630A44" w:rsidRPr="00630A44" w:rsidRDefault="00630A44" w:rsidP="00630A44">
      <w:r w:rsidRPr="00630A44">
        <w:t>This policy is based on:</w:t>
      </w:r>
    </w:p>
    <w:p w14:paraId="366B1C85" w14:textId="210988D2" w:rsidR="00630A44" w:rsidRPr="00630A44" w:rsidRDefault="00630A44" w:rsidP="00630A44">
      <w:pPr>
        <w:numPr>
          <w:ilvl w:val="0"/>
          <w:numId w:val="3"/>
        </w:numPr>
      </w:pPr>
      <w:r w:rsidRPr="00630A44">
        <w:t xml:space="preserve">The Local Government </w:t>
      </w:r>
      <w:r w:rsidR="00C148CF">
        <w:t xml:space="preserve">Finance </w:t>
      </w:r>
      <w:r w:rsidRPr="00630A44">
        <w:t>Act 1992 (duty to set a balanced budget);</w:t>
      </w:r>
    </w:p>
    <w:p w14:paraId="4631EE76" w14:textId="77777777" w:rsidR="00630A44" w:rsidRPr="00630A44" w:rsidRDefault="00630A44" w:rsidP="00630A44">
      <w:pPr>
        <w:numPr>
          <w:ilvl w:val="0"/>
          <w:numId w:val="3"/>
        </w:numPr>
      </w:pPr>
      <w:r w:rsidRPr="00630A44">
        <w:t>The Local Government Act 2003, Section 15(1)(a) (duty to have regard to Investment Guidance);</w:t>
      </w:r>
    </w:p>
    <w:p w14:paraId="0495FE09" w14:textId="77777777" w:rsidR="00630A44" w:rsidRPr="00630A44" w:rsidRDefault="00630A44" w:rsidP="00630A44">
      <w:pPr>
        <w:numPr>
          <w:ilvl w:val="0"/>
          <w:numId w:val="3"/>
        </w:numPr>
      </w:pPr>
      <w:r w:rsidRPr="00630A44">
        <w:t>Statutory Guidance on Local Government Investments (DLUHC, 2018 as updated);</w:t>
      </w:r>
    </w:p>
    <w:p w14:paraId="093F5898" w14:textId="420EA111" w:rsidR="00630A44" w:rsidRPr="00630A44" w:rsidRDefault="00630A44" w:rsidP="00630A44">
      <w:pPr>
        <w:numPr>
          <w:ilvl w:val="0"/>
          <w:numId w:val="3"/>
        </w:numPr>
      </w:pPr>
      <w:r w:rsidRPr="00630A44">
        <w:t>The Practitioners’ Guide 2025 (proper practices for reserves and investments);</w:t>
      </w:r>
    </w:p>
    <w:p w14:paraId="6998CB4F" w14:textId="41D134BA" w:rsidR="00630A44" w:rsidRPr="00630A44" w:rsidRDefault="00630A44" w:rsidP="00630A44">
      <w:pPr>
        <w:numPr>
          <w:ilvl w:val="0"/>
          <w:numId w:val="3"/>
        </w:numPr>
      </w:pPr>
      <w:r w:rsidRPr="00630A44">
        <w:t>NALC Model Financial Regulations 2025.</w:t>
      </w:r>
    </w:p>
    <w:p w14:paraId="25BC8126" w14:textId="77777777" w:rsidR="00630A44" w:rsidRPr="00630A44" w:rsidRDefault="00630A44" w:rsidP="00630A44">
      <w:pPr>
        <w:rPr>
          <w:b/>
          <w:bCs/>
        </w:rPr>
      </w:pPr>
      <w:r w:rsidRPr="00630A44">
        <w:rPr>
          <w:b/>
          <w:bCs/>
        </w:rPr>
        <w:t>3. Types of Reserves</w:t>
      </w:r>
    </w:p>
    <w:p w14:paraId="4BB3546A" w14:textId="77777777" w:rsidR="00630A44" w:rsidRPr="00630A44" w:rsidRDefault="00630A44" w:rsidP="00630A44">
      <w:r w:rsidRPr="00630A44">
        <w:t>The Council maintains three categories of reserves:</w:t>
      </w:r>
    </w:p>
    <w:p w14:paraId="39BA3688" w14:textId="77777777" w:rsidR="00630A44" w:rsidRPr="00630A44" w:rsidRDefault="00630A44" w:rsidP="00630A44">
      <w:pPr>
        <w:rPr>
          <w:b/>
          <w:bCs/>
        </w:rPr>
      </w:pPr>
      <w:r w:rsidRPr="00630A44">
        <w:rPr>
          <w:b/>
          <w:bCs/>
        </w:rPr>
        <w:t>a) General Reserve</w:t>
      </w:r>
    </w:p>
    <w:p w14:paraId="37CAD8F2" w14:textId="77777777" w:rsidR="00630A44" w:rsidRPr="00630A44" w:rsidRDefault="00630A44" w:rsidP="00630A44">
      <w:pPr>
        <w:numPr>
          <w:ilvl w:val="0"/>
          <w:numId w:val="4"/>
        </w:numPr>
      </w:pPr>
      <w:r w:rsidRPr="00630A44">
        <w:t>A working balance to cushion the impact of uneven cashflows or unexpected events.</w:t>
      </w:r>
    </w:p>
    <w:p w14:paraId="7BF19813" w14:textId="77777777" w:rsidR="00630A44" w:rsidRPr="00630A44" w:rsidRDefault="00630A44" w:rsidP="00630A44">
      <w:pPr>
        <w:numPr>
          <w:ilvl w:val="0"/>
          <w:numId w:val="4"/>
        </w:numPr>
      </w:pPr>
      <w:r w:rsidRPr="00630A44">
        <w:t>Benchmark level: normally between 3 and 12 months of net revenue expenditure, proportionate to the size and risk profile of the Council.</w:t>
      </w:r>
    </w:p>
    <w:p w14:paraId="7E63FAC6" w14:textId="77777777" w:rsidR="00630A44" w:rsidRPr="00630A44" w:rsidRDefault="00630A44" w:rsidP="00630A44">
      <w:pPr>
        <w:rPr>
          <w:b/>
          <w:bCs/>
        </w:rPr>
      </w:pPr>
      <w:r w:rsidRPr="00630A44">
        <w:rPr>
          <w:b/>
          <w:bCs/>
        </w:rPr>
        <w:t>b) Earmarked Reserves (EMRs)</w:t>
      </w:r>
    </w:p>
    <w:p w14:paraId="5C987118" w14:textId="77777777" w:rsidR="00630A44" w:rsidRPr="00630A44" w:rsidRDefault="00630A44" w:rsidP="00630A44">
      <w:pPr>
        <w:numPr>
          <w:ilvl w:val="0"/>
          <w:numId w:val="5"/>
        </w:numPr>
      </w:pPr>
      <w:r w:rsidRPr="00630A44">
        <w:t>Funds set aside for specific purposes (e.g. elections, asset replacement, projects, staff training, legal costs).</w:t>
      </w:r>
    </w:p>
    <w:p w14:paraId="5F378699" w14:textId="77777777" w:rsidR="00630A44" w:rsidRPr="00630A44" w:rsidRDefault="00630A44" w:rsidP="00630A44">
      <w:pPr>
        <w:numPr>
          <w:ilvl w:val="0"/>
          <w:numId w:val="5"/>
        </w:numPr>
      </w:pPr>
      <w:r w:rsidRPr="00630A44">
        <w:t>Created and spent by Council resolution.</w:t>
      </w:r>
    </w:p>
    <w:p w14:paraId="70339676" w14:textId="77777777" w:rsidR="00630A44" w:rsidRPr="00630A44" w:rsidRDefault="00630A44" w:rsidP="00630A44">
      <w:pPr>
        <w:numPr>
          <w:ilvl w:val="0"/>
          <w:numId w:val="5"/>
        </w:numPr>
      </w:pPr>
      <w:r w:rsidRPr="00630A44">
        <w:t>Reviewed at least annually as part of the budget process.</w:t>
      </w:r>
    </w:p>
    <w:p w14:paraId="062028E1" w14:textId="77777777" w:rsidR="00630A44" w:rsidRPr="00630A44" w:rsidRDefault="00630A44" w:rsidP="00630A44">
      <w:pPr>
        <w:rPr>
          <w:b/>
          <w:bCs/>
        </w:rPr>
      </w:pPr>
      <w:r w:rsidRPr="00630A44">
        <w:rPr>
          <w:b/>
          <w:bCs/>
        </w:rPr>
        <w:t>c) Restricted Reserves</w:t>
      </w:r>
    </w:p>
    <w:p w14:paraId="1ACCE488" w14:textId="77777777" w:rsidR="00630A44" w:rsidRPr="00630A44" w:rsidRDefault="00630A44" w:rsidP="00630A44">
      <w:pPr>
        <w:numPr>
          <w:ilvl w:val="0"/>
          <w:numId w:val="6"/>
        </w:numPr>
      </w:pPr>
      <w:r w:rsidRPr="00630A44">
        <w:lastRenderedPageBreak/>
        <w:t>Funds that must be spent only on specified purposes by law or regulation (e.g. Community Infrastructure Levy, Section 106 funds, grants received for a particular project).</w:t>
      </w:r>
    </w:p>
    <w:p w14:paraId="4167F000" w14:textId="0815C0CE" w:rsidR="00630A44" w:rsidRPr="00630A44" w:rsidRDefault="00630A44" w:rsidP="00630A44">
      <w:pPr>
        <w:numPr>
          <w:ilvl w:val="0"/>
          <w:numId w:val="6"/>
        </w:numPr>
      </w:pPr>
      <w:r w:rsidRPr="00630A44">
        <w:t xml:space="preserve">These cannot be </w:t>
      </w:r>
      <w:r w:rsidR="001B75AF">
        <w:t>transferred</w:t>
      </w:r>
      <w:r w:rsidRPr="00630A44">
        <w:t xml:space="preserve"> or used for other purposes.</w:t>
      </w:r>
    </w:p>
    <w:p w14:paraId="7E188BEE" w14:textId="77777777" w:rsidR="00630A44" w:rsidRPr="00630A44" w:rsidRDefault="00630A44" w:rsidP="00630A44">
      <w:pPr>
        <w:rPr>
          <w:b/>
          <w:bCs/>
        </w:rPr>
      </w:pPr>
      <w:r w:rsidRPr="00630A44">
        <w:rPr>
          <w:b/>
          <w:bCs/>
        </w:rPr>
        <w:t>4. Principles of Reserve Management</w:t>
      </w:r>
    </w:p>
    <w:p w14:paraId="0EBD1B48" w14:textId="77777777" w:rsidR="00630A44" w:rsidRPr="00630A44" w:rsidRDefault="00630A44" w:rsidP="00630A44">
      <w:pPr>
        <w:numPr>
          <w:ilvl w:val="0"/>
          <w:numId w:val="7"/>
        </w:numPr>
      </w:pPr>
      <w:r w:rsidRPr="00630A44">
        <w:t>The Responsible Financial Officer (RFO) will advise annually on the appropriate level of reserves, considering risks and medium-term financial planning.</w:t>
      </w:r>
    </w:p>
    <w:p w14:paraId="07CC4957" w14:textId="77777777" w:rsidR="00630A44" w:rsidRPr="00630A44" w:rsidRDefault="00630A44" w:rsidP="00630A44">
      <w:pPr>
        <w:numPr>
          <w:ilvl w:val="0"/>
          <w:numId w:val="7"/>
        </w:numPr>
      </w:pPr>
      <w:r w:rsidRPr="00630A44">
        <w:t>Reserves may only be used with the formal approval of full Council.</w:t>
      </w:r>
    </w:p>
    <w:p w14:paraId="43263A37" w14:textId="77777777" w:rsidR="00630A44" w:rsidRPr="00630A44" w:rsidRDefault="00630A44" w:rsidP="00630A44">
      <w:pPr>
        <w:numPr>
          <w:ilvl w:val="0"/>
          <w:numId w:val="7"/>
        </w:numPr>
      </w:pPr>
      <w:r w:rsidRPr="00630A44">
        <w:t>If reserves fall below the agreed benchmark, the Council will plan to rebuild them within a reasonable timeframe.</w:t>
      </w:r>
    </w:p>
    <w:p w14:paraId="497181D8" w14:textId="47ABA33E" w:rsidR="00630A44" w:rsidRPr="00630A44" w:rsidRDefault="00630A44" w:rsidP="00630A44">
      <w:pPr>
        <w:numPr>
          <w:ilvl w:val="0"/>
          <w:numId w:val="7"/>
        </w:numPr>
      </w:pPr>
      <w:r w:rsidRPr="00630A44">
        <w:t>All reserve movements (creation, use, transfers) will be reported in the Council’s budget monitoring and year-end accounts.</w:t>
      </w:r>
    </w:p>
    <w:p w14:paraId="228F08B9" w14:textId="77777777" w:rsidR="00630A44" w:rsidRPr="00630A44" w:rsidRDefault="00630A44" w:rsidP="00630A44">
      <w:pPr>
        <w:rPr>
          <w:b/>
          <w:bCs/>
        </w:rPr>
      </w:pPr>
      <w:r w:rsidRPr="00630A44">
        <w:rPr>
          <w:b/>
          <w:bCs/>
        </w:rPr>
        <w:t>5. Investment Objectives</w:t>
      </w:r>
    </w:p>
    <w:p w14:paraId="644E5F19" w14:textId="77777777" w:rsidR="00630A44" w:rsidRPr="00630A44" w:rsidRDefault="00630A44" w:rsidP="00630A44">
      <w:r w:rsidRPr="00630A44">
        <w:t>When the Council has funds beyond immediate operational needs and agreed reserves, it will invest in accordance with three priorities, in order:</w:t>
      </w:r>
    </w:p>
    <w:p w14:paraId="2DA31D45" w14:textId="77777777" w:rsidR="00630A44" w:rsidRPr="00630A44" w:rsidRDefault="00630A44" w:rsidP="00630A44">
      <w:pPr>
        <w:numPr>
          <w:ilvl w:val="0"/>
          <w:numId w:val="8"/>
        </w:numPr>
      </w:pPr>
      <w:r w:rsidRPr="00630A44">
        <w:rPr>
          <w:b/>
          <w:bCs/>
        </w:rPr>
        <w:t>Security</w:t>
      </w:r>
      <w:r w:rsidRPr="00630A44">
        <w:t xml:space="preserve"> – protecting the capital sum.</w:t>
      </w:r>
    </w:p>
    <w:p w14:paraId="65A6BC14" w14:textId="77777777" w:rsidR="00630A44" w:rsidRPr="00630A44" w:rsidRDefault="00630A44" w:rsidP="00630A44">
      <w:pPr>
        <w:numPr>
          <w:ilvl w:val="0"/>
          <w:numId w:val="8"/>
        </w:numPr>
      </w:pPr>
      <w:r w:rsidRPr="00630A44">
        <w:rPr>
          <w:b/>
          <w:bCs/>
        </w:rPr>
        <w:t>Liquidity</w:t>
      </w:r>
      <w:r w:rsidRPr="00630A44">
        <w:t xml:space="preserve"> – ensuring funds are accessible when needed.</w:t>
      </w:r>
    </w:p>
    <w:p w14:paraId="770ECADB" w14:textId="64DF4ECA" w:rsidR="00630A44" w:rsidRPr="00630A44" w:rsidRDefault="00630A44" w:rsidP="00630A44">
      <w:pPr>
        <w:numPr>
          <w:ilvl w:val="0"/>
          <w:numId w:val="8"/>
        </w:numPr>
      </w:pPr>
      <w:r w:rsidRPr="00630A44">
        <w:rPr>
          <w:b/>
          <w:bCs/>
        </w:rPr>
        <w:t>Yield</w:t>
      </w:r>
      <w:r w:rsidRPr="00630A44">
        <w:t xml:space="preserve"> – obtaining the best rate of return consistent with the above.</w:t>
      </w:r>
    </w:p>
    <w:p w14:paraId="0D893304" w14:textId="77777777" w:rsidR="00630A44" w:rsidRPr="00630A44" w:rsidRDefault="00630A44" w:rsidP="00630A44">
      <w:pPr>
        <w:rPr>
          <w:b/>
          <w:bCs/>
        </w:rPr>
      </w:pPr>
      <w:r w:rsidRPr="00630A44">
        <w:rPr>
          <w:b/>
          <w:bCs/>
        </w:rPr>
        <w:t>6. Approved Investment Instruments</w:t>
      </w:r>
    </w:p>
    <w:p w14:paraId="6376D2E1" w14:textId="77777777" w:rsidR="00630A44" w:rsidRPr="00630A44" w:rsidRDefault="00630A44" w:rsidP="00630A44">
      <w:pPr>
        <w:numPr>
          <w:ilvl w:val="0"/>
          <w:numId w:val="9"/>
        </w:numPr>
      </w:pPr>
      <w:r w:rsidRPr="00630A44">
        <w:rPr>
          <w:b/>
          <w:bCs/>
        </w:rPr>
        <w:t>Specified Investments</w:t>
      </w:r>
      <w:r w:rsidRPr="00630A44">
        <w:t>: Sterling deposits with UK banks, building societies, or the Debt Management Office, repayable within 12 months.</w:t>
      </w:r>
    </w:p>
    <w:p w14:paraId="6084E4F1" w14:textId="77777777" w:rsidR="00630A44" w:rsidRPr="00630A44" w:rsidRDefault="00630A44" w:rsidP="00630A44">
      <w:pPr>
        <w:numPr>
          <w:ilvl w:val="0"/>
          <w:numId w:val="9"/>
        </w:numPr>
      </w:pPr>
      <w:r w:rsidRPr="00630A44">
        <w:rPr>
          <w:b/>
          <w:bCs/>
        </w:rPr>
        <w:t>Non-Specified Investments</w:t>
      </w:r>
      <w:r w:rsidRPr="00630A44">
        <w:t>: Longer-term deposits or other instruments may be considered only where the Council has formally approved the associated risks and taken appropriate advice.</w:t>
      </w:r>
    </w:p>
    <w:p w14:paraId="440EEC69" w14:textId="653BE71C" w:rsidR="00630A44" w:rsidRPr="00630A44" w:rsidRDefault="00630A44" w:rsidP="00630A44">
      <w:pPr>
        <w:numPr>
          <w:ilvl w:val="0"/>
          <w:numId w:val="9"/>
        </w:numPr>
      </w:pPr>
      <w:r w:rsidRPr="00630A44">
        <w:rPr>
          <w:b/>
          <w:bCs/>
        </w:rPr>
        <w:t>No high-risk or speculative investments</w:t>
      </w:r>
      <w:r w:rsidRPr="00630A44">
        <w:t xml:space="preserve"> (e.g. shares, derivatives, </w:t>
      </w:r>
      <w:proofErr w:type="spellStart"/>
      <w:r w:rsidRPr="00630A44">
        <w:t>cryptoassets</w:t>
      </w:r>
      <w:proofErr w:type="spellEnd"/>
      <w:r w:rsidRPr="00630A44">
        <w:t>) will be permitted.</w:t>
      </w:r>
    </w:p>
    <w:p w14:paraId="0B904ED7" w14:textId="77777777" w:rsidR="00630A44" w:rsidRPr="00630A44" w:rsidRDefault="00630A44" w:rsidP="00630A44">
      <w:pPr>
        <w:rPr>
          <w:b/>
          <w:bCs/>
        </w:rPr>
      </w:pPr>
      <w:r w:rsidRPr="00630A44">
        <w:rPr>
          <w:b/>
          <w:bCs/>
        </w:rPr>
        <w:t>7. Diversification and Risk Management</w:t>
      </w:r>
    </w:p>
    <w:p w14:paraId="3A2D47A7" w14:textId="77777777" w:rsidR="00630A44" w:rsidRPr="00630A44" w:rsidRDefault="00630A44" w:rsidP="00630A44">
      <w:pPr>
        <w:numPr>
          <w:ilvl w:val="0"/>
          <w:numId w:val="10"/>
        </w:numPr>
      </w:pPr>
      <w:r w:rsidRPr="00630A44">
        <w:t>Total exposure to any one institution (other than the Government) will not normally exceed the Financial Services Compensation Scheme (FSCS) limit.</w:t>
      </w:r>
    </w:p>
    <w:p w14:paraId="76229853" w14:textId="77777777" w:rsidR="00630A44" w:rsidRPr="00630A44" w:rsidRDefault="00630A44" w:rsidP="00630A44">
      <w:pPr>
        <w:numPr>
          <w:ilvl w:val="0"/>
          <w:numId w:val="10"/>
        </w:numPr>
      </w:pPr>
      <w:r w:rsidRPr="00630A44">
        <w:t>Where practical, funds will be spread across more than one counterparty to reduce risk.</w:t>
      </w:r>
    </w:p>
    <w:p w14:paraId="69404C15" w14:textId="7B508FED" w:rsidR="00630A44" w:rsidRPr="00630A44" w:rsidRDefault="00630A44" w:rsidP="00630A44">
      <w:pPr>
        <w:numPr>
          <w:ilvl w:val="0"/>
          <w:numId w:val="10"/>
        </w:numPr>
      </w:pPr>
      <w:r w:rsidRPr="00630A44">
        <w:t>Credit ratings and counterparties will be reviewed annually by the RFO.</w:t>
      </w:r>
    </w:p>
    <w:p w14:paraId="62B3B0F8" w14:textId="77777777" w:rsidR="00630A44" w:rsidRPr="00630A44" w:rsidRDefault="00630A44" w:rsidP="00630A44">
      <w:pPr>
        <w:rPr>
          <w:b/>
          <w:bCs/>
        </w:rPr>
      </w:pPr>
      <w:r w:rsidRPr="00630A44">
        <w:rPr>
          <w:b/>
          <w:bCs/>
        </w:rPr>
        <w:t>8. Governance and Delegation</w:t>
      </w:r>
    </w:p>
    <w:p w14:paraId="22991727" w14:textId="77777777" w:rsidR="00630A44" w:rsidRPr="00630A44" w:rsidRDefault="00630A44" w:rsidP="00630A44">
      <w:pPr>
        <w:numPr>
          <w:ilvl w:val="0"/>
          <w:numId w:val="11"/>
        </w:numPr>
      </w:pPr>
      <w:r w:rsidRPr="00630A44">
        <w:t>The RFO will manage day-to-day transactions within the framework of this policy.</w:t>
      </w:r>
    </w:p>
    <w:p w14:paraId="6619ECB6" w14:textId="77777777" w:rsidR="00630A44" w:rsidRPr="00630A44" w:rsidRDefault="00630A44" w:rsidP="00630A44">
      <w:pPr>
        <w:numPr>
          <w:ilvl w:val="0"/>
          <w:numId w:val="11"/>
        </w:numPr>
      </w:pPr>
      <w:r w:rsidRPr="00630A44">
        <w:t>All investment decisions, creation of new reserves, or use of reserves require approval by full Council.</w:t>
      </w:r>
    </w:p>
    <w:p w14:paraId="51D4F691" w14:textId="76845EC4" w:rsidR="00630A44" w:rsidRPr="00630A44" w:rsidRDefault="00630A44" w:rsidP="00630A44">
      <w:pPr>
        <w:numPr>
          <w:ilvl w:val="0"/>
          <w:numId w:val="11"/>
        </w:numPr>
      </w:pPr>
      <w:r w:rsidRPr="00630A44">
        <w:lastRenderedPageBreak/>
        <w:t>The Council will record such decisions in minutes and publish them where required by transparency rules.</w:t>
      </w:r>
    </w:p>
    <w:p w14:paraId="7204053F" w14:textId="77777777" w:rsidR="00630A44" w:rsidRPr="00630A44" w:rsidRDefault="00630A44" w:rsidP="00630A44">
      <w:pPr>
        <w:rPr>
          <w:b/>
          <w:bCs/>
        </w:rPr>
      </w:pPr>
      <w:r w:rsidRPr="00630A44">
        <w:rPr>
          <w:b/>
          <w:bCs/>
        </w:rPr>
        <w:t>9. Monitoring and Reporting</w:t>
      </w:r>
    </w:p>
    <w:p w14:paraId="1F4A234C" w14:textId="77777777" w:rsidR="00630A44" w:rsidRPr="00630A44" w:rsidRDefault="00630A44" w:rsidP="00630A44">
      <w:pPr>
        <w:numPr>
          <w:ilvl w:val="0"/>
          <w:numId w:val="12"/>
        </w:numPr>
      </w:pPr>
      <w:r w:rsidRPr="00630A44">
        <w:t>Reserve balances and movements will be reported at least quarterly to Council.</w:t>
      </w:r>
    </w:p>
    <w:p w14:paraId="7A38D32D" w14:textId="77777777" w:rsidR="00630A44" w:rsidRPr="00630A44" w:rsidRDefault="00630A44" w:rsidP="00630A44">
      <w:pPr>
        <w:numPr>
          <w:ilvl w:val="0"/>
          <w:numId w:val="12"/>
        </w:numPr>
      </w:pPr>
      <w:r w:rsidRPr="00630A44">
        <w:t>Investment performance and counterparties will be reviewed annually by the RFO and reported to Council.</w:t>
      </w:r>
    </w:p>
    <w:p w14:paraId="37B2BADD" w14:textId="3A5552D8" w:rsidR="00630A44" w:rsidRPr="00630A44" w:rsidRDefault="00630A44" w:rsidP="00630A44">
      <w:pPr>
        <w:numPr>
          <w:ilvl w:val="0"/>
          <w:numId w:val="12"/>
        </w:numPr>
      </w:pPr>
      <w:r w:rsidRPr="00630A44">
        <w:t>The Council will publish details of its reserves and investments in the annual accounts and AGAR.</w:t>
      </w:r>
    </w:p>
    <w:p w14:paraId="5EB77FA2" w14:textId="77777777" w:rsidR="00630A44" w:rsidRPr="00630A44" w:rsidRDefault="00630A44" w:rsidP="00630A44">
      <w:pPr>
        <w:rPr>
          <w:b/>
          <w:bCs/>
        </w:rPr>
      </w:pPr>
      <w:r w:rsidRPr="00630A44">
        <w:rPr>
          <w:b/>
          <w:bCs/>
        </w:rPr>
        <w:t>10. Review of Policy</w:t>
      </w:r>
    </w:p>
    <w:p w14:paraId="40A85167" w14:textId="77777777" w:rsidR="00630A44" w:rsidRDefault="00630A44" w:rsidP="00630A44">
      <w:r w:rsidRPr="00630A44">
        <w:t>This policy will be reviewed annually as part of the budget process and updated where necessary in line with legislation, guidance, and the Council’s financial circumstances.</w:t>
      </w:r>
    </w:p>
    <w:p w14:paraId="29FE5B21" w14:textId="77777777" w:rsidR="000F3913" w:rsidRDefault="000F3913" w:rsidP="00630A44"/>
    <w:p w14:paraId="3B874A3D" w14:textId="77777777" w:rsidR="000F3913" w:rsidRDefault="000F3913" w:rsidP="00630A44"/>
    <w:p w14:paraId="42E0B325" w14:textId="77777777" w:rsidR="007953A1" w:rsidRPr="007953A1" w:rsidRDefault="007953A1" w:rsidP="007953A1">
      <w:r w:rsidRPr="007953A1">
        <w:rPr>
          <w:b/>
          <w:bCs/>
        </w:rPr>
        <w:t>Signed:</w:t>
      </w:r>
      <w:r w:rsidRPr="007953A1">
        <w:t xml:space="preserve"> ____________________________________</w:t>
      </w:r>
      <w:r w:rsidRPr="007953A1">
        <w:br/>
        <w:t>Chair of the Council</w:t>
      </w:r>
    </w:p>
    <w:p w14:paraId="41456038" w14:textId="77777777" w:rsidR="007953A1" w:rsidRPr="007953A1" w:rsidRDefault="007953A1" w:rsidP="007953A1">
      <w:r w:rsidRPr="007953A1">
        <w:rPr>
          <w:b/>
          <w:bCs/>
        </w:rPr>
        <w:t>Signed:</w:t>
      </w:r>
      <w:r w:rsidRPr="007953A1">
        <w:t xml:space="preserve"> ____________________________________</w:t>
      </w:r>
      <w:r w:rsidRPr="007953A1">
        <w:br/>
        <w:t>Clerk/Responsible Financial Officer</w:t>
      </w:r>
    </w:p>
    <w:p w14:paraId="1D890CA7" w14:textId="77777777" w:rsidR="007953A1" w:rsidRPr="007953A1" w:rsidRDefault="007953A1" w:rsidP="007953A1">
      <w:r w:rsidRPr="007953A1">
        <w:rPr>
          <w:b/>
          <w:bCs/>
        </w:rPr>
        <w:t>Date:</w:t>
      </w:r>
      <w:r w:rsidRPr="007953A1">
        <w:t xml:space="preserve"> ______________________________________</w:t>
      </w:r>
    </w:p>
    <w:p w14:paraId="5A2FF5F9" w14:textId="32F0793E" w:rsidR="00630A44" w:rsidRPr="00071363" w:rsidRDefault="007953A1" w:rsidP="00071363">
      <w:r w:rsidRPr="2492C180">
        <w:rPr>
          <w:b/>
          <w:bCs/>
        </w:rPr>
        <w:t>Review Due:</w:t>
      </w:r>
      <w:r>
        <w:t xml:space="preserve"> </w:t>
      </w:r>
      <w:r w:rsidR="00B36EA1">
        <w:t>July 2027</w:t>
      </w:r>
    </w:p>
    <w:p w14:paraId="5CA507D4" w14:textId="70C2E366" w:rsidR="2492C180" w:rsidRDefault="2492C180"/>
    <w:sectPr w:rsidR="2492C18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1A2A" w14:textId="77777777" w:rsidR="00AE1CBB" w:rsidRDefault="00AE1CBB" w:rsidP="000E610A">
      <w:pPr>
        <w:spacing w:after="0" w:line="240" w:lineRule="auto"/>
      </w:pPr>
      <w:r>
        <w:separator/>
      </w:r>
    </w:p>
  </w:endnote>
  <w:endnote w:type="continuationSeparator" w:id="0">
    <w:p w14:paraId="047DDCB3" w14:textId="77777777" w:rsidR="00AE1CBB" w:rsidRDefault="00AE1CBB" w:rsidP="000E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48DC" w14:textId="61B80AEB" w:rsidR="000E610A" w:rsidRPr="003D2464" w:rsidRDefault="00B36EA1" w:rsidP="003D2464">
    <w:pPr>
      <w:pStyle w:val="Footer"/>
      <w:jc w:val="right"/>
      <w:rPr>
        <w:sz w:val="24"/>
        <w:szCs w:val="24"/>
        <w:lang w:val="en-US"/>
      </w:rPr>
    </w:pPr>
    <w:r w:rsidRPr="003D2464">
      <w:rPr>
        <w:sz w:val="24"/>
        <w:szCs w:val="24"/>
        <w:lang w:val="en-US"/>
      </w:rPr>
      <w:t>Preston Parish Council</w:t>
    </w:r>
    <w:r w:rsidR="000857E5" w:rsidRPr="003D2464">
      <w:rPr>
        <w:sz w:val="24"/>
        <w:szCs w:val="24"/>
        <w:lang w:val="en-US"/>
      </w:rPr>
      <w:t xml:space="preserve"> Investment &amp; </w:t>
    </w:r>
    <w:proofErr w:type="spellStart"/>
    <w:r w:rsidR="000857E5" w:rsidRPr="003D2464">
      <w:rPr>
        <w:sz w:val="24"/>
        <w:szCs w:val="24"/>
        <w:lang w:val="en-US"/>
      </w:rPr>
      <w:t>Reserves</w:t>
    </w:r>
    <w:proofErr w:type="spellEnd"/>
    <w:r w:rsidR="000857E5" w:rsidRPr="003D2464">
      <w:rPr>
        <w:sz w:val="24"/>
        <w:szCs w:val="24"/>
        <w:lang w:val="en-US"/>
      </w:rPr>
      <w:t xml:space="preserve"> Policy – draft 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F256" w14:textId="77777777" w:rsidR="00AE1CBB" w:rsidRDefault="00AE1CBB" w:rsidP="000E610A">
      <w:pPr>
        <w:spacing w:after="0" w:line="240" w:lineRule="auto"/>
      </w:pPr>
      <w:r>
        <w:separator/>
      </w:r>
    </w:p>
  </w:footnote>
  <w:footnote w:type="continuationSeparator" w:id="0">
    <w:p w14:paraId="074C4310" w14:textId="77777777" w:rsidR="00AE1CBB" w:rsidRDefault="00AE1CBB" w:rsidP="000E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4C3A" w14:textId="3890B32E" w:rsidR="000E610A" w:rsidRDefault="000E610A">
    <w:pPr>
      <w:pStyle w:val="Header"/>
    </w:pPr>
  </w:p>
  <w:p w14:paraId="708DFDBD" w14:textId="2D3AC220" w:rsidR="000E610A" w:rsidRPr="003D2464" w:rsidRDefault="003D2464">
    <w:pPr>
      <w:pStyle w:val="Header"/>
      <w:rPr>
        <w:b/>
        <w:bCs/>
        <w:sz w:val="32"/>
        <w:szCs w:val="32"/>
      </w:rPr>
    </w:pPr>
    <w:r w:rsidRPr="003D2464">
      <w:rPr>
        <w:b/>
        <w:bCs/>
        <w:sz w:val="32"/>
        <w:szCs w:val="32"/>
      </w:rPr>
      <w:t>Preston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5A0"/>
    <w:multiLevelType w:val="multilevel"/>
    <w:tmpl w:val="E766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220DB"/>
    <w:multiLevelType w:val="multilevel"/>
    <w:tmpl w:val="5A5C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122AB"/>
    <w:multiLevelType w:val="multilevel"/>
    <w:tmpl w:val="4EA8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00819"/>
    <w:multiLevelType w:val="multilevel"/>
    <w:tmpl w:val="C76E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7564D"/>
    <w:multiLevelType w:val="multilevel"/>
    <w:tmpl w:val="3B98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6805C8"/>
    <w:multiLevelType w:val="multilevel"/>
    <w:tmpl w:val="0910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E3E36"/>
    <w:multiLevelType w:val="multilevel"/>
    <w:tmpl w:val="A8AE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853D3"/>
    <w:multiLevelType w:val="multilevel"/>
    <w:tmpl w:val="2B8C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12AC2"/>
    <w:multiLevelType w:val="multilevel"/>
    <w:tmpl w:val="41DCF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861890"/>
    <w:multiLevelType w:val="multilevel"/>
    <w:tmpl w:val="DE72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213C2B"/>
    <w:multiLevelType w:val="multilevel"/>
    <w:tmpl w:val="1B30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E46414"/>
    <w:multiLevelType w:val="hybridMultilevel"/>
    <w:tmpl w:val="2CA4F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856544">
    <w:abstractNumId w:val="11"/>
  </w:num>
  <w:num w:numId="2" w16cid:durableId="1386948512">
    <w:abstractNumId w:val="4"/>
  </w:num>
  <w:num w:numId="3" w16cid:durableId="24060515">
    <w:abstractNumId w:val="7"/>
  </w:num>
  <w:num w:numId="4" w16cid:durableId="836071483">
    <w:abstractNumId w:val="5"/>
  </w:num>
  <w:num w:numId="5" w16cid:durableId="1151681365">
    <w:abstractNumId w:val="6"/>
  </w:num>
  <w:num w:numId="6" w16cid:durableId="695498705">
    <w:abstractNumId w:val="3"/>
  </w:num>
  <w:num w:numId="7" w16cid:durableId="808863480">
    <w:abstractNumId w:val="9"/>
  </w:num>
  <w:num w:numId="8" w16cid:durableId="1140465518">
    <w:abstractNumId w:val="8"/>
  </w:num>
  <w:num w:numId="9" w16cid:durableId="1046760488">
    <w:abstractNumId w:val="0"/>
  </w:num>
  <w:num w:numId="10" w16cid:durableId="614210372">
    <w:abstractNumId w:val="10"/>
  </w:num>
  <w:num w:numId="11" w16cid:durableId="1170409526">
    <w:abstractNumId w:val="1"/>
  </w:num>
  <w:num w:numId="12" w16cid:durableId="877007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0A"/>
    <w:rsid w:val="00071363"/>
    <w:rsid w:val="000857E5"/>
    <w:rsid w:val="000E610A"/>
    <w:rsid w:val="000F3913"/>
    <w:rsid w:val="00156502"/>
    <w:rsid w:val="001A6D13"/>
    <w:rsid w:val="001B75AF"/>
    <w:rsid w:val="001D0EE4"/>
    <w:rsid w:val="00283EA5"/>
    <w:rsid w:val="002E7617"/>
    <w:rsid w:val="00301758"/>
    <w:rsid w:val="00356140"/>
    <w:rsid w:val="003D2464"/>
    <w:rsid w:val="0045332F"/>
    <w:rsid w:val="00453B00"/>
    <w:rsid w:val="004E7639"/>
    <w:rsid w:val="00506DD6"/>
    <w:rsid w:val="005210EC"/>
    <w:rsid w:val="00630A44"/>
    <w:rsid w:val="00773531"/>
    <w:rsid w:val="007953A1"/>
    <w:rsid w:val="00892142"/>
    <w:rsid w:val="00991ADC"/>
    <w:rsid w:val="00AE1CBB"/>
    <w:rsid w:val="00B36EA1"/>
    <w:rsid w:val="00BA32E8"/>
    <w:rsid w:val="00C04BC8"/>
    <w:rsid w:val="00C05343"/>
    <w:rsid w:val="00C148CF"/>
    <w:rsid w:val="00C52624"/>
    <w:rsid w:val="00C61A86"/>
    <w:rsid w:val="00C85907"/>
    <w:rsid w:val="00E65294"/>
    <w:rsid w:val="00F8132E"/>
    <w:rsid w:val="00FF7699"/>
    <w:rsid w:val="1D687D11"/>
    <w:rsid w:val="2492C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ADDDB"/>
  <w15:chartTrackingRefBased/>
  <w15:docId w15:val="{3E4748E1-D758-404A-B6A3-314E311E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0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1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6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10A"/>
  </w:style>
  <w:style w:type="paragraph" w:styleId="Footer">
    <w:name w:val="footer"/>
    <w:basedOn w:val="Normal"/>
    <w:link w:val="FooterChar"/>
    <w:uiPriority w:val="99"/>
    <w:unhideWhenUsed/>
    <w:rsid w:val="000E6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10A"/>
  </w:style>
  <w:style w:type="character" w:styleId="Hyperlink">
    <w:name w:val="Hyperlink"/>
    <w:basedOn w:val="DefaultParagraphFont"/>
    <w:uiPriority w:val="99"/>
    <w:unhideWhenUsed/>
    <w:rsid w:val="000E61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1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3B0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3B00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character" w:styleId="Strong">
    <w:name w:val="Strong"/>
    <w:basedOn w:val="DefaultParagraphFont"/>
    <w:uiPriority w:val="22"/>
    <w:qFormat/>
    <w:rsid w:val="00453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A8AB0D08E0D48B8361A3F2D6243B2" ma:contentTypeVersion="13" ma:contentTypeDescription="Create a new document." ma:contentTypeScope="" ma:versionID="e591e2dafa50ac22ac5c0cfae26c1f0d">
  <xsd:schema xmlns:xsd="http://www.w3.org/2001/XMLSchema" xmlns:xs="http://www.w3.org/2001/XMLSchema" xmlns:p="http://schemas.microsoft.com/office/2006/metadata/properties" xmlns:ns2="3bfec4c2-d353-4ff6-aedb-b1426499b7b2" xmlns:ns3="59c899d9-daa3-4355-9de6-1208d30e8191" targetNamespace="http://schemas.microsoft.com/office/2006/metadata/properties" ma:root="true" ma:fieldsID="c7024bde480ed5dfbb842167d2385d99" ns2:_="" ns3:_="">
    <xsd:import namespace="3bfec4c2-d353-4ff6-aedb-b1426499b7b2"/>
    <xsd:import namespace="59c899d9-daa3-4355-9de6-1208d30e8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c4c2-d353-4ff6-aedb-b1426499b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da3e785-fc40-408d-970b-98382e1e80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899d9-daa3-4355-9de6-1208d30e81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515062-8e75-4955-a942-48c0fdd510c7}" ma:internalName="TaxCatchAll" ma:showField="CatchAllData" ma:web="59c899d9-daa3-4355-9de6-1208d30e8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ec4c2-d353-4ff6-aedb-b1426499b7b2">
      <Terms xmlns="http://schemas.microsoft.com/office/infopath/2007/PartnerControls"/>
    </lcf76f155ced4ddcb4097134ff3c332f>
    <TaxCatchAll xmlns="59c899d9-daa3-4355-9de6-1208d30e8191" xsi:nil="true"/>
  </documentManagement>
</p:properties>
</file>

<file path=customXml/itemProps1.xml><?xml version="1.0" encoding="utf-8"?>
<ds:datastoreItem xmlns:ds="http://schemas.openxmlformats.org/officeDocument/2006/customXml" ds:itemID="{C6A27C67-C838-40D1-93D5-FE912F184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ec4c2-d353-4ff6-aedb-b1426499b7b2"/>
    <ds:schemaRef ds:uri="59c899d9-daa3-4355-9de6-1208d30e8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54349-3547-4289-9353-2FC60DD44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6ED93-7DE6-4D3F-8A98-A617A7261697}">
  <ds:schemaRefs>
    <ds:schemaRef ds:uri="http://schemas.microsoft.com/office/2006/metadata/properties"/>
    <ds:schemaRef ds:uri="http://schemas.microsoft.com/office/infopath/2007/PartnerControls"/>
    <ds:schemaRef ds:uri="3bfec4c2-d353-4ff6-aedb-b1426499b7b2"/>
    <ds:schemaRef ds:uri="59c899d9-daa3-4355-9de6-1208d30e81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Kerrin Wilkinson GAPTC</dc:creator>
  <cp:keywords/>
  <dc:description/>
  <cp:lastModifiedBy>Roz Morton</cp:lastModifiedBy>
  <cp:revision>7</cp:revision>
  <dcterms:created xsi:type="dcterms:W3CDTF">2026-06-12T12:41:00Z</dcterms:created>
  <dcterms:modified xsi:type="dcterms:W3CDTF">2026-06-16T10:10:00Z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0x010100082A8AB0D08E0D48B8361A3F2D6243B2</vt:lpwstr>
  </property>
  <property fmtid="{D5CDD505-2E9C-101B-9397-08002B2CF9AE}" pid="3" name="MediaServiceImageTags">
    <vt:lpwstr/>
  </property>
</Properties>
</file>